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11BD5C23"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66AEC">
        <w:rPr>
          <w:rFonts w:ascii="Arial" w:hAnsi="Arial" w:cs="Arial"/>
        </w:rPr>
        <w:t>5</w:t>
      </w:r>
    </w:p>
    <w:p w14:paraId="0C3B6912" w14:textId="77777777" w:rsidR="00CF0597" w:rsidRPr="00F05C22" w:rsidRDefault="00CF0597" w:rsidP="00CF0597">
      <w:pPr>
        <w:rPr>
          <w:rFonts w:ascii="Arial" w:hAnsi="Arial" w:cs="Arial"/>
          <w:b/>
          <w:sz w:val="8"/>
          <w:szCs w:val="8"/>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r>
        <w:rPr>
          <w:rFonts w:ascii="Arial" w:hAnsi="Arial" w:cs="Arial"/>
          <w:b/>
          <w:bCs/>
        </w:rPr>
        <w:t>Lic Joel Gutiérrez Orcí</w:t>
      </w:r>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C91941" w:rsidRDefault="00CF0597" w:rsidP="000D31F6">
      <w:pPr>
        <w:pStyle w:val="Textoindependiente2"/>
        <w:tabs>
          <w:tab w:val="left" w:pos="0"/>
          <w:tab w:val="left" w:pos="1035"/>
          <w:tab w:val="center" w:pos="4419"/>
        </w:tabs>
        <w:spacing w:after="0" w:line="240" w:lineRule="auto"/>
        <w:rPr>
          <w:rFonts w:ascii="Arial" w:hAnsi="Arial" w:cs="Arial"/>
          <w:b/>
          <w:bCs/>
          <w:sz w:val="8"/>
          <w:szCs w:val="8"/>
        </w:rPr>
      </w:pPr>
    </w:p>
    <w:p w14:paraId="529F1C6E" w14:textId="77777777" w:rsidR="00CF0597" w:rsidRPr="003877BA" w:rsidRDefault="00CF0597" w:rsidP="000D31F6">
      <w:pPr>
        <w:pStyle w:val="Sangradetextonormal"/>
        <w:spacing w:after="0"/>
        <w:ind w:left="0" w:right="-45"/>
        <w:jc w:val="both"/>
        <w:rPr>
          <w:rFonts w:ascii="Arial" w:eastAsia="MS Mincho" w:hAnsi="Arial" w:cs="Arial"/>
          <w:spacing w:val="-1"/>
          <w:kern w:val="1"/>
          <w:sz w:val="10"/>
          <w:szCs w:val="10"/>
          <w:lang w:val="es-ES" w:eastAsia="ja-JP"/>
        </w:rPr>
      </w:pPr>
    </w:p>
    <w:p w14:paraId="3D128B9E" w14:textId="7A2F632F"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66AEC">
        <w:rPr>
          <w:rFonts w:ascii="Arial" w:hAnsi="Arial" w:cs="Arial"/>
          <w:spacing w:val="-1"/>
          <w:kern w:val="1"/>
          <w:sz w:val="22"/>
          <w:szCs w:val="22"/>
        </w:rPr>
        <w:t>5</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se encuentra en los supuestos del Artículo 61 de la Ley de Adquisiciones, Arrendamientos y Servicios del Estado de Baja California Sur”. Y no  se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el,  ni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por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Que asumirá  cualquier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como jefe y patrón del Personal que ocupe con motivo del suministro de los bienes, será el único responsable de las obligaciones derivadas de las  disposiciones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0746" w14:textId="77777777" w:rsidR="006F522D" w:rsidRDefault="006F522D" w:rsidP="000D31F6">
      <w:r>
        <w:separator/>
      </w:r>
    </w:p>
  </w:endnote>
  <w:endnote w:type="continuationSeparator" w:id="0">
    <w:p w14:paraId="1AB8D92C" w14:textId="77777777" w:rsidR="006F522D" w:rsidRDefault="006F522D"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D60" w14:textId="77777777" w:rsidR="00B201E0" w:rsidRDefault="00B20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C9A" w14:textId="77777777" w:rsidR="00B201E0" w:rsidRDefault="00B201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53A" w14:textId="77777777" w:rsidR="00B201E0" w:rsidRDefault="00B20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A009" w14:textId="77777777" w:rsidR="006F522D" w:rsidRDefault="006F522D" w:rsidP="000D31F6">
      <w:r>
        <w:separator/>
      </w:r>
    </w:p>
  </w:footnote>
  <w:footnote w:type="continuationSeparator" w:id="0">
    <w:p w14:paraId="207C7785" w14:textId="77777777" w:rsidR="006F522D" w:rsidRDefault="006F522D"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D97" w14:textId="77777777" w:rsidR="00B201E0" w:rsidRDefault="00B20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B15" w14:textId="77777777" w:rsidR="00B201E0" w:rsidRDefault="00B20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0574D"/>
    <w:rsid w:val="0002554F"/>
    <w:rsid w:val="000439D9"/>
    <w:rsid w:val="00044C3A"/>
    <w:rsid w:val="00061552"/>
    <w:rsid w:val="000B27EF"/>
    <w:rsid w:val="000C5F79"/>
    <w:rsid w:val="000D31F6"/>
    <w:rsid w:val="001411B7"/>
    <w:rsid w:val="001507DA"/>
    <w:rsid w:val="00172DE7"/>
    <w:rsid w:val="00173996"/>
    <w:rsid w:val="001762C6"/>
    <w:rsid w:val="001C5D33"/>
    <w:rsid w:val="0022258F"/>
    <w:rsid w:val="002A0E14"/>
    <w:rsid w:val="002A3058"/>
    <w:rsid w:val="002D2C9B"/>
    <w:rsid w:val="002D498B"/>
    <w:rsid w:val="002F644D"/>
    <w:rsid w:val="0037187C"/>
    <w:rsid w:val="003877BA"/>
    <w:rsid w:val="003B75CD"/>
    <w:rsid w:val="003C06B3"/>
    <w:rsid w:val="003D146C"/>
    <w:rsid w:val="00420BC6"/>
    <w:rsid w:val="00420EFD"/>
    <w:rsid w:val="004542BB"/>
    <w:rsid w:val="004A7CC5"/>
    <w:rsid w:val="004C03AE"/>
    <w:rsid w:val="004F067C"/>
    <w:rsid w:val="00513FEA"/>
    <w:rsid w:val="00535912"/>
    <w:rsid w:val="005479AE"/>
    <w:rsid w:val="005C5B5A"/>
    <w:rsid w:val="005D6B08"/>
    <w:rsid w:val="005E6282"/>
    <w:rsid w:val="00632D9F"/>
    <w:rsid w:val="006355F1"/>
    <w:rsid w:val="006F522D"/>
    <w:rsid w:val="00725453"/>
    <w:rsid w:val="00730999"/>
    <w:rsid w:val="00737911"/>
    <w:rsid w:val="00742B8C"/>
    <w:rsid w:val="007518D4"/>
    <w:rsid w:val="00760C88"/>
    <w:rsid w:val="00766AEC"/>
    <w:rsid w:val="007848B5"/>
    <w:rsid w:val="007925C5"/>
    <w:rsid w:val="00794C1A"/>
    <w:rsid w:val="007B7010"/>
    <w:rsid w:val="007C065B"/>
    <w:rsid w:val="007D115E"/>
    <w:rsid w:val="007E73FF"/>
    <w:rsid w:val="007F0A22"/>
    <w:rsid w:val="007F21D4"/>
    <w:rsid w:val="008275BD"/>
    <w:rsid w:val="00835F20"/>
    <w:rsid w:val="00846271"/>
    <w:rsid w:val="00892B37"/>
    <w:rsid w:val="00895FC2"/>
    <w:rsid w:val="008A148E"/>
    <w:rsid w:val="008B2C05"/>
    <w:rsid w:val="00924ABC"/>
    <w:rsid w:val="0095441C"/>
    <w:rsid w:val="00984B0F"/>
    <w:rsid w:val="009865F8"/>
    <w:rsid w:val="009A6798"/>
    <w:rsid w:val="009B1BE9"/>
    <w:rsid w:val="009C2D41"/>
    <w:rsid w:val="00A30617"/>
    <w:rsid w:val="00A37E34"/>
    <w:rsid w:val="00A45EE0"/>
    <w:rsid w:val="00A565C2"/>
    <w:rsid w:val="00AE1755"/>
    <w:rsid w:val="00AF200C"/>
    <w:rsid w:val="00AF77C1"/>
    <w:rsid w:val="00B163B8"/>
    <w:rsid w:val="00B201E0"/>
    <w:rsid w:val="00B241C8"/>
    <w:rsid w:val="00B24C4C"/>
    <w:rsid w:val="00B61E28"/>
    <w:rsid w:val="00B84773"/>
    <w:rsid w:val="00B95CBB"/>
    <w:rsid w:val="00BE0FA6"/>
    <w:rsid w:val="00BE46DA"/>
    <w:rsid w:val="00BF73DE"/>
    <w:rsid w:val="00C03727"/>
    <w:rsid w:val="00C07CDB"/>
    <w:rsid w:val="00C37439"/>
    <w:rsid w:val="00C91941"/>
    <w:rsid w:val="00CA05BF"/>
    <w:rsid w:val="00CB5042"/>
    <w:rsid w:val="00CF0597"/>
    <w:rsid w:val="00CF7423"/>
    <w:rsid w:val="00D07864"/>
    <w:rsid w:val="00D20CB6"/>
    <w:rsid w:val="00D27B46"/>
    <w:rsid w:val="00D27DC1"/>
    <w:rsid w:val="00DB06D4"/>
    <w:rsid w:val="00DB1F2E"/>
    <w:rsid w:val="00DB3234"/>
    <w:rsid w:val="00DB3C8F"/>
    <w:rsid w:val="00DF5603"/>
    <w:rsid w:val="00E327B1"/>
    <w:rsid w:val="00E5619F"/>
    <w:rsid w:val="00E86C17"/>
    <w:rsid w:val="00EA0BE8"/>
    <w:rsid w:val="00ED0443"/>
    <w:rsid w:val="00ED4BE7"/>
    <w:rsid w:val="00ED5455"/>
    <w:rsid w:val="00EF475C"/>
    <w:rsid w:val="00F01983"/>
    <w:rsid w:val="00F05C22"/>
    <w:rsid w:val="00F06A0E"/>
    <w:rsid w:val="00F21863"/>
    <w:rsid w:val="00F36148"/>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72</cp:revision>
  <dcterms:created xsi:type="dcterms:W3CDTF">2022-03-28T06:59:00Z</dcterms:created>
  <dcterms:modified xsi:type="dcterms:W3CDTF">2025-02-06T17:24:00Z</dcterms:modified>
</cp:coreProperties>
</file>