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7ACA" w14:textId="715291DB" w:rsidR="00B413BE" w:rsidRDefault="008E0E0A" w:rsidP="008C4DE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3622B1">
        <w:rPr>
          <w:rFonts w:ascii="Arial" w:hAnsi="Arial" w:cs="Arial"/>
          <w:b/>
          <w:color w:val="000000" w:themeColor="text1"/>
          <w:sz w:val="20"/>
        </w:rPr>
        <w:t>Asunto.</w:t>
      </w:r>
      <w:r w:rsidRPr="003622B1">
        <w:rPr>
          <w:rFonts w:ascii="Arial" w:hAnsi="Arial" w:cs="Arial"/>
          <w:color w:val="000000" w:themeColor="text1"/>
          <w:sz w:val="20"/>
        </w:rPr>
        <w:t xml:space="preserve"> -</w:t>
      </w:r>
      <w:r w:rsidR="00617EE3" w:rsidRPr="003622B1">
        <w:rPr>
          <w:rFonts w:ascii="Arial" w:hAnsi="Arial" w:cs="Arial"/>
          <w:color w:val="000000" w:themeColor="text1"/>
          <w:sz w:val="20"/>
        </w:rPr>
        <w:t xml:space="preserve"> </w:t>
      </w:r>
      <w:r w:rsidR="00714466" w:rsidRPr="003622B1">
        <w:rPr>
          <w:rFonts w:ascii="Arial" w:hAnsi="Arial" w:cs="Arial"/>
          <w:color w:val="000000" w:themeColor="text1"/>
          <w:sz w:val="20"/>
        </w:rPr>
        <w:t xml:space="preserve"> </w:t>
      </w:r>
      <w:r w:rsidR="00E50CC0" w:rsidRPr="003622B1">
        <w:rPr>
          <w:rFonts w:ascii="Arial" w:hAnsi="Arial" w:cs="Arial"/>
          <w:color w:val="000000" w:themeColor="text1"/>
          <w:sz w:val="20"/>
        </w:rPr>
        <w:t>NOTA ACLARATORIA</w:t>
      </w:r>
      <w:r w:rsidR="00E50CC0">
        <w:rPr>
          <w:rFonts w:ascii="Arial" w:hAnsi="Arial" w:cs="Arial"/>
          <w:color w:val="000000" w:themeColor="text1"/>
          <w:sz w:val="20"/>
        </w:rPr>
        <w:t xml:space="preserve"> RELATIVA </w:t>
      </w:r>
      <w:r w:rsidR="000C1041">
        <w:rPr>
          <w:rFonts w:ascii="Arial" w:hAnsi="Arial" w:cs="Arial"/>
          <w:color w:val="000000" w:themeColor="text1"/>
          <w:sz w:val="20"/>
        </w:rPr>
        <w:t>A</w:t>
      </w:r>
    </w:p>
    <w:p w14:paraId="4E8CA643" w14:textId="23CFD4E0" w:rsidR="008C4DEA" w:rsidRPr="008C4DEA" w:rsidRDefault="008C4DEA" w:rsidP="008C4DEA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8C4DEA">
        <w:rPr>
          <w:rFonts w:ascii="Arial" w:hAnsi="Arial" w:cs="Arial"/>
          <w:color w:val="000000" w:themeColor="text1"/>
          <w:sz w:val="20"/>
        </w:rPr>
        <w:t xml:space="preserve">LICITACIÓN PÚBLICA </w:t>
      </w:r>
      <w:r w:rsidR="00984066">
        <w:rPr>
          <w:rFonts w:ascii="Arial" w:hAnsi="Arial" w:cs="Arial"/>
          <w:color w:val="000000" w:themeColor="text1"/>
          <w:sz w:val="20"/>
        </w:rPr>
        <w:t>ESTATAL</w:t>
      </w:r>
    </w:p>
    <w:p w14:paraId="22F579B8" w14:textId="13D3D8B7" w:rsidR="00984066" w:rsidRPr="00984066" w:rsidRDefault="00984066" w:rsidP="009840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s-ES_tradnl"/>
        </w:rPr>
      </w:pPr>
      <w:r w:rsidRPr="00984066">
        <w:rPr>
          <w:rFonts w:ascii="Arial" w:eastAsia="Arial Unicode MS" w:hAnsi="Arial" w:cs="Arial"/>
          <w:lang w:val="es-ES_tradnl"/>
        </w:rPr>
        <w:t>SUMINISTRO DE EQUIPO DE VIDEO</w:t>
      </w:r>
    </w:p>
    <w:p w14:paraId="3E4B5625" w14:textId="0C8A6AEC" w:rsidR="00984066" w:rsidRPr="00984066" w:rsidRDefault="00984066" w:rsidP="009840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s-ES_tradnl"/>
        </w:rPr>
      </w:pPr>
      <w:r w:rsidRPr="00984066">
        <w:rPr>
          <w:rFonts w:ascii="Arial" w:eastAsia="Arial Unicode MS" w:hAnsi="Arial" w:cs="Arial"/>
          <w:lang w:val="es-ES_tradnl"/>
        </w:rPr>
        <w:t>VIGILANCIAS Y LICENCIAS DE SOFTWARE”</w:t>
      </w:r>
    </w:p>
    <w:p w14:paraId="335262C5" w14:textId="5750EC0F" w:rsidR="009B630A" w:rsidRPr="007156D4" w:rsidRDefault="00984066" w:rsidP="009840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s-ES_tradnl"/>
        </w:rPr>
      </w:pPr>
      <w:r w:rsidRPr="00984066">
        <w:rPr>
          <w:rFonts w:ascii="Arial" w:eastAsia="Arial Unicode MS" w:hAnsi="Arial" w:cs="Arial"/>
          <w:lang w:val="es-ES_tradnl"/>
        </w:rPr>
        <w:t>(SEGUNDA VUELTA)</w:t>
      </w:r>
      <w:r w:rsidRPr="007156D4">
        <w:rPr>
          <w:rFonts w:ascii="Arial" w:eastAsia="Arial Unicode MS" w:hAnsi="Arial" w:cs="Arial"/>
          <w:lang w:val="es-ES_tradnl"/>
        </w:rPr>
        <w:t xml:space="preserve"> </w:t>
      </w:r>
    </w:p>
    <w:p w14:paraId="430E14D8" w14:textId="76922E63" w:rsidR="008F4C6B" w:rsidRPr="009F1F23" w:rsidRDefault="0094509B" w:rsidP="008C4D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FF0000"/>
          <w:lang w:val="es-ES_tradnl"/>
        </w:rPr>
      </w:pPr>
      <w:r>
        <w:rPr>
          <w:rFonts w:ascii="Arial" w:eastAsia="Arial Unicode MS" w:hAnsi="Arial" w:cs="Arial"/>
          <w:lang w:val="es-ES_tradnl"/>
        </w:rPr>
        <w:t>LP</w:t>
      </w:r>
      <w:r w:rsidR="000C1041" w:rsidRPr="000C1041">
        <w:rPr>
          <w:rFonts w:ascii="Arial" w:eastAsia="Arial Unicode MS" w:hAnsi="Arial" w:cs="Arial"/>
          <w:lang w:val="es-ES_tradnl"/>
        </w:rPr>
        <w:t>A-000000014-</w:t>
      </w:r>
      <w:r w:rsidR="00984066">
        <w:rPr>
          <w:rFonts w:ascii="Arial" w:eastAsia="Arial Unicode MS" w:hAnsi="Arial" w:cs="Arial"/>
          <w:lang w:val="es-ES_tradnl"/>
        </w:rPr>
        <w:t>070</w:t>
      </w:r>
      <w:r w:rsidR="000C1041" w:rsidRPr="000C1041">
        <w:rPr>
          <w:rFonts w:ascii="Arial" w:eastAsia="Arial Unicode MS" w:hAnsi="Arial" w:cs="Arial"/>
          <w:lang w:val="es-ES_tradnl"/>
        </w:rPr>
        <w:t>-202</w:t>
      </w:r>
      <w:r w:rsidR="00984066">
        <w:rPr>
          <w:rFonts w:ascii="Arial" w:eastAsia="Arial Unicode MS" w:hAnsi="Arial" w:cs="Arial"/>
          <w:lang w:val="es-ES_tradnl"/>
        </w:rPr>
        <w:t>3</w:t>
      </w:r>
    </w:p>
    <w:p w14:paraId="47ADAEA7" w14:textId="77777777" w:rsidR="00835956" w:rsidRDefault="00835956" w:rsidP="008F4C6B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</w:p>
    <w:p w14:paraId="6860FD22" w14:textId="77777777" w:rsidR="00835956" w:rsidRDefault="00835956" w:rsidP="008F4C6B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</w:p>
    <w:p w14:paraId="1161D503" w14:textId="09663567" w:rsidR="00617EE3" w:rsidRDefault="00617EE3" w:rsidP="008F4C6B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 w:rsidRPr="0034122C">
        <w:rPr>
          <w:rFonts w:ascii="Arial" w:hAnsi="Arial" w:cs="Arial"/>
          <w:b/>
          <w:color w:val="000000" w:themeColor="text1"/>
        </w:rPr>
        <w:t>La Paz, Baja California Sur,</w:t>
      </w:r>
      <w:r w:rsidR="005670C8">
        <w:rPr>
          <w:rFonts w:ascii="Arial" w:hAnsi="Arial" w:cs="Arial"/>
          <w:b/>
          <w:color w:val="000000" w:themeColor="text1"/>
        </w:rPr>
        <w:t xml:space="preserve"> </w:t>
      </w:r>
      <w:r w:rsidR="00984066">
        <w:rPr>
          <w:rFonts w:ascii="Arial" w:hAnsi="Arial" w:cs="Arial"/>
          <w:b/>
          <w:color w:val="000000" w:themeColor="text1"/>
        </w:rPr>
        <w:t>11 de agosto</w:t>
      </w:r>
      <w:r w:rsidR="00C20E11" w:rsidRPr="0034122C">
        <w:rPr>
          <w:rFonts w:ascii="Arial" w:hAnsi="Arial" w:cs="Arial"/>
          <w:b/>
          <w:color w:val="000000" w:themeColor="text1"/>
        </w:rPr>
        <w:t xml:space="preserve"> 202</w:t>
      </w:r>
      <w:r w:rsidR="00984066">
        <w:rPr>
          <w:rFonts w:ascii="Arial" w:hAnsi="Arial" w:cs="Arial"/>
          <w:b/>
          <w:color w:val="000000" w:themeColor="text1"/>
        </w:rPr>
        <w:t>3</w:t>
      </w:r>
      <w:r w:rsidRPr="0034122C">
        <w:rPr>
          <w:rFonts w:ascii="Arial" w:hAnsi="Arial" w:cs="Arial"/>
          <w:b/>
          <w:color w:val="000000" w:themeColor="text1"/>
        </w:rPr>
        <w:t>.</w:t>
      </w:r>
    </w:p>
    <w:p w14:paraId="0D124E40" w14:textId="34C06872" w:rsidR="002E2A8B" w:rsidRDefault="002E2A8B" w:rsidP="00F750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u w:color="000000"/>
          <w:lang w:val="es-ES_tradnl"/>
        </w:rPr>
      </w:pPr>
    </w:p>
    <w:p w14:paraId="08D64012" w14:textId="77777777" w:rsidR="00984066" w:rsidRDefault="0073667D" w:rsidP="00984066">
      <w:pPr>
        <w:pStyle w:val="Textoindependiente2"/>
        <w:tabs>
          <w:tab w:val="left" w:pos="0"/>
          <w:tab w:val="left" w:pos="1035"/>
        </w:tabs>
        <w:spacing w:line="276" w:lineRule="auto"/>
        <w:jc w:val="center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NOTA ACLARATORIA</w:t>
      </w:r>
    </w:p>
    <w:p w14:paraId="36989896" w14:textId="74208A37" w:rsidR="007156D4" w:rsidRDefault="00984066" w:rsidP="00984066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aclaratoria al acta de celebrada el día 11 de agosto de 2023 a las 13:00 del acto de </w:t>
      </w:r>
      <w:r w:rsidRPr="00916987">
        <w:rPr>
          <w:rFonts w:ascii="Arial" w:hAnsi="Arial" w:cs="Arial"/>
          <w:bCs/>
          <w:sz w:val="20"/>
          <w:szCs w:val="20"/>
          <w:lang w:val="es-ES_tradnl"/>
        </w:rPr>
        <w:t>APERTURA DE PROPOSICIONES</w:t>
      </w:r>
      <w:r w:rsidRPr="0092091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ECONOMICAS (2da. ETAPA), de la </w:t>
      </w:r>
      <w:r w:rsidRPr="00984066">
        <w:rPr>
          <w:rFonts w:ascii="Arial" w:eastAsia="Arial" w:hAnsi="Arial" w:cs="Arial"/>
        </w:rPr>
        <w:t>LICITACIÓN PÚBLICA ESTATAL</w:t>
      </w:r>
      <w:r>
        <w:rPr>
          <w:rFonts w:ascii="Arial" w:eastAsia="Arial" w:hAnsi="Arial" w:cs="Arial"/>
        </w:rPr>
        <w:t xml:space="preserve">, número </w:t>
      </w:r>
      <w:r w:rsidRPr="00984066">
        <w:rPr>
          <w:rFonts w:ascii="Arial" w:eastAsia="Arial" w:hAnsi="Arial" w:cs="Arial"/>
        </w:rPr>
        <w:t>LPA-000000014-070-2023</w:t>
      </w:r>
      <w:r>
        <w:rPr>
          <w:rFonts w:ascii="Arial" w:eastAsia="Arial" w:hAnsi="Arial" w:cs="Arial"/>
        </w:rPr>
        <w:t xml:space="preserve">, relativa al </w:t>
      </w:r>
      <w:r w:rsidRPr="00984066">
        <w:rPr>
          <w:rFonts w:ascii="Arial" w:eastAsia="Arial" w:hAnsi="Arial" w:cs="Arial"/>
        </w:rPr>
        <w:t>SUMINISTRO DE EQUIPO DE VIDEO</w:t>
      </w:r>
      <w:r>
        <w:rPr>
          <w:rFonts w:ascii="Arial" w:eastAsia="Arial" w:hAnsi="Arial" w:cs="Arial"/>
        </w:rPr>
        <w:t xml:space="preserve"> </w:t>
      </w:r>
      <w:r w:rsidRPr="00984066">
        <w:rPr>
          <w:rFonts w:ascii="Arial" w:eastAsia="Arial" w:hAnsi="Arial" w:cs="Arial"/>
        </w:rPr>
        <w:t>VIGILANCIAS Y LICENCIAS DE SOFTWARE</w:t>
      </w:r>
      <w:r>
        <w:rPr>
          <w:rFonts w:ascii="Arial" w:eastAsia="Arial" w:hAnsi="Arial" w:cs="Arial"/>
        </w:rPr>
        <w:t xml:space="preserve"> </w:t>
      </w:r>
      <w:r w:rsidRPr="00984066">
        <w:rPr>
          <w:rFonts w:ascii="Arial" w:eastAsia="Arial" w:hAnsi="Arial" w:cs="Arial"/>
        </w:rPr>
        <w:t>(SEGUNDA VUELTA)</w:t>
      </w:r>
      <w:r>
        <w:rPr>
          <w:rFonts w:ascii="Arial" w:eastAsia="Arial" w:hAnsi="Arial" w:cs="Arial"/>
        </w:rPr>
        <w:t>.</w:t>
      </w:r>
      <w:r w:rsidRPr="00984066">
        <w:rPr>
          <w:rFonts w:ascii="Arial" w:eastAsia="Arial" w:hAnsi="Arial" w:cs="Arial"/>
        </w:rPr>
        <w:t xml:space="preserve"> </w:t>
      </w:r>
    </w:p>
    <w:p w14:paraId="2C38DDC9" w14:textId="77777777" w:rsidR="00984066" w:rsidRDefault="00984066" w:rsidP="00984066">
      <w:pPr>
        <w:tabs>
          <w:tab w:val="left" w:pos="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En </w:t>
      </w:r>
      <w:r w:rsidRPr="00984066">
        <w:rPr>
          <w:rFonts w:ascii="Arial" w:eastAsia="Arial" w:hAnsi="Arial" w:cs="Arial"/>
          <w:b/>
          <w:bCs/>
        </w:rPr>
        <w:t>cierre del acta</w:t>
      </w:r>
    </w:p>
    <w:p w14:paraId="086956F0" w14:textId="3CAEE426" w:rsidR="00984066" w:rsidRDefault="00984066" w:rsidP="00984066">
      <w:pPr>
        <w:tabs>
          <w:tab w:val="left" w:pos="0"/>
        </w:tabs>
        <w:jc w:val="both"/>
        <w:rPr>
          <w:rFonts w:ascii="Arial" w:eastAsia="Arial" w:hAnsi="Arial" w:cs="Arial"/>
        </w:rPr>
      </w:pPr>
      <w:r w:rsidRPr="00984066">
        <w:rPr>
          <w:rFonts w:ascii="Arial" w:eastAsia="Arial" w:hAnsi="Arial" w:cs="Arial"/>
          <w:b/>
          <w:bCs/>
          <w:i/>
          <w:iCs/>
        </w:rPr>
        <w:t>Dice</w:t>
      </w:r>
      <w:r>
        <w:rPr>
          <w:rFonts w:ascii="Arial" w:eastAsia="Arial" w:hAnsi="Arial" w:cs="Arial"/>
        </w:rPr>
        <w:t xml:space="preserve">: </w:t>
      </w:r>
    </w:p>
    <w:p w14:paraId="32ECBFFB" w14:textId="702C283A" w:rsidR="00984066" w:rsidRDefault="00984066" w:rsidP="00984066">
      <w:pPr>
        <w:tabs>
          <w:tab w:val="left" w:pos="0"/>
        </w:tabs>
        <w:jc w:val="both"/>
        <w:rPr>
          <w:rFonts w:ascii="Arial" w:eastAsia="Arial" w:hAnsi="Arial" w:cs="Arial"/>
        </w:rPr>
      </w:pPr>
      <w:r w:rsidRPr="00984066"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</w:rPr>
        <w:t>habiendo</w:t>
      </w:r>
      <w:r w:rsidRPr="00984066">
        <w:rPr>
          <w:rFonts w:ascii="Arial" w:eastAsia="Arial" w:hAnsi="Arial" w:cs="Arial"/>
        </w:rPr>
        <w:t xml:space="preserve"> hechos adicionales que hacer </w:t>
      </w:r>
      <w:r w:rsidRPr="00984066">
        <w:rPr>
          <w:rFonts w:ascii="Arial" w:eastAsia="Arial" w:hAnsi="Arial" w:cs="Arial"/>
        </w:rPr>
        <w:t>constar se</w:t>
      </w:r>
      <w:r w:rsidRPr="00984066">
        <w:rPr>
          <w:rFonts w:ascii="Arial" w:eastAsia="Arial" w:hAnsi="Arial" w:cs="Arial"/>
        </w:rPr>
        <w:t xml:space="preserve"> da por concluid</w:t>
      </w:r>
      <w:r>
        <w:rPr>
          <w:rFonts w:ascii="Arial" w:eastAsia="Arial" w:hAnsi="Arial" w:cs="Arial"/>
        </w:rPr>
        <w:t>o, el acto</w:t>
      </w:r>
      <w:r w:rsidRPr="00984066">
        <w:rPr>
          <w:rFonts w:ascii="Arial" w:eastAsia="Arial" w:hAnsi="Arial" w:cs="Arial"/>
        </w:rPr>
        <w:t xml:space="preserve"> siendo</w:t>
      </w:r>
      <w:r>
        <w:rPr>
          <w:rFonts w:ascii="Arial" w:eastAsia="Arial" w:hAnsi="Arial" w:cs="Arial"/>
        </w:rPr>
        <w:t xml:space="preserve"> las</w:t>
      </w:r>
      <w:r w:rsidRPr="00984066">
        <w:rPr>
          <w:rFonts w:ascii="Arial" w:eastAsia="Arial" w:hAnsi="Arial" w:cs="Arial"/>
        </w:rPr>
        <w:t xml:space="preserve"> 1</w:t>
      </w:r>
      <w:r>
        <w:rPr>
          <w:rFonts w:ascii="Arial" w:eastAsia="Arial" w:hAnsi="Arial" w:cs="Arial"/>
        </w:rPr>
        <w:t>5</w:t>
      </w:r>
      <w:r w:rsidRPr="00984066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0</w:t>
      </w:r>
      <w:r w:rsidRPr="00984066">
        <w:rPr>
          <w:rFonts w:ascii="Arial" w:eastAsia="Arial" w:hAnsi="Arial" w:cs="Arial"/>
        </w:rPr>
        <w:t>0 horas, del día de su inicio</w:t>
      </w:r>
      <w:r>
        <w:rPr>
          <w:rFonts w:ascii="Arial" w:eastAsia="Arial" w:hAnsi="Arial" w:cs="Arial"/>
        </w:rPr>
        <w:t>. E</w:t>
      </w:r>
      <w:r w:rsidRPr="00984066">
        <w:rPr>
          <w:rFonts w:ascii="Arial" w:eastAsia="Arial" w:hAnsi="Arial" w:cs="Arial"/>
        </w:rPr>
        <w:t>sta acta consta de 0</w:t>
      </w:r>
      <w:r>
        <w:rPr>
          <w:rFonts w:ascii="Arial" w:eastAsia="Arial" w:hAnsi="Arial" w:cs="Arial"/>
        </w:rPr>
        <w:t>4</w:t>
      </w:r>
      <w:r w:rsidRPr="00984066">
        <w:rPr>
          <w:rFonts w:ascii="Arial" w:eastAsia="Arial" w:hAnsi="Arial" w:cs="Arial"/>
        </w:rPr>
        <w:t xml:space="preserve"> hojas, misma que es firmada de conformidad por los asistentes a este evento, quienes reciben copia de la misma.</w:t>
      </w:r>
      <w:r>
        <w:rPr>
          <w:rFonts w:ascii="Arial" w:eastAsia="Arial" w:hAnsi="Arial" w:cs="Arial"/>
        </w:rPr>
        <w:t xml:space="preserve"> </w:t>
      </w:r>
    </w:p>
    <w:p w14:paraId="5157DE01" w14:textId="2052D609" w:rsidR="00984066" w:rsidRPr="00984066" w:rsidRDefault="00984066" w:rsidP="00984066">
      <w:pPr>
        <w:tabs>
          <w:tab w:val="left" w:pos="0"/>
        </w:tabs>
        <w:jc w:val="both"/>
        <w:rPr>
          <w:rFonts w:ascii="Arial" w:eastAsia="Arial" w:hAnsi="Arial" w:cs="Arial"/>
          <w:b/>
          <w:bCs/>
          <w:i/>
          <w:iCs/>
        </w:rPr>
      </w:pPr>
      <w:r w:rsidRPr="00984066">
        <w:rPr>
          <w:rFonts w:ascii="Arial" w:eastAsia="Arial" w:hAnsi="Arial" w:cs="Arial"/>
          <w:b/>
          <w:bCs/>
          <w:i/>
          <w:iCs/>
        </w:rPr>
        <w:t>Debe decir:</w:t>
      </w:r>
    </w:p>
    <w:p w14:paraId="182E4441" w14:textId="542901DA" w:rsidR="00984066" w:rsidRDefault="00984066" w:rsidP="00984066">
      <w:pPr>
        <w:tabs>
          <w:tab w:val="left" w:pos="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Pr="00984066">
        <w:rPr>
          <w:rFonts w:ascii="Arial" w:eastAsia="Arial" w:hAnsi="Arial" w:cs="Arial"/>
        </w:rPr>
        <w:t xml:space="preserve">Se hace constar para todos los </w:t>
      </w:r>
      <w:r w:rsidRPr="00984066">
        <w:rPr>
          <w:rFonts w:ascii="Arial" w:eastAsia="Arial" w:hAnsi="Arial" w:cs="Arial"/>
        </w:rPr>
        <w:t>efectos que</w:t>
      </w:r>
      <w:r w:rsidRPr="00984066">
        <w:rPr>
          <w:rFonts w:ascii="Arial" w:eastAsia="Arial" w:hAnsi="Arial" w:cs="Arial"/>
        </w:rPr>
        <w:t xml:space="preserve"> el </w:t>
      </w:r>
      <w:r w:rsidRPr="00984066">
        <w:rPr>
          <w:rFonts w:ascii="Arial" w:eastAsia="Arial" w:hAnsi="Arial" w:cs="Arial"/>
        </w:rPr>
        <w:t>fallo será</w:t>
      </w:r>
      <w:r w:rsidRPr="00984066">
        <w:rPr>
          <w:rFonts w:ascii="Arial" w:eastAsia="Arial" w:hAnsi="Arial" w:cs="Arial"/>
        </w:rPr>
        <w:t xml:space="preserve"> </w:t>
      </w:r>
      <w:r w:rsidRPr="00984066">
        <w:rPr>
          <w:rFonts w:ascii="Arial" w:eastAsia="Arial" w:hAnsi="Arial" w:cs="Arial"/>
        </w:rPr>
        <w:t>emitido por</w:t>
      </w:r>
      <w:r w:rsidRPr="00984066">
        <w:rPr>
          <w:rFonts w:ascii="Arial" w:eastAsia="Arial" w:hAnsi="Arial" w:cs="Arial"/>
        </w:rPr>
        <w:t xml:space="preserve">   </w:t>
      </w:r>
      <w:r w:rsidRPr="00984066">
        <w:rPr>
          <w:rFonts w:ascii="Arial" w:eastAsia="Arial" w:hAnsi="Arial" w:cs="Arial"/>
        </w:rPr>
        <w:t>escrito en un plazo que no excederá del</w:t>
      </w:r>
      <w:r w:rsidRPr="00984066">
        <w:rPr>
          <w:rFonts w:ascii="Arial" w:eastAsia="Arial" w:hAnsi="Arial" w:cs="Arial"/>
        </w:rPr>
        <w:t xml:space="preserve"> día </w:t>
      </w:r>
      <w:r>
        <w:rPr>
          <w:rFonts w:ascii="Arial" w:eastAsia="Arial" w:hAnsi="Arial" w:cs="Arial"/>
        </w:rPr>
        <w:t xml:space="preserve">16 </w:t>
      </w:r>
      <w:r w:rsidRPr="00984066">
        <w:rPr>
          <w:rFonts w:ascii="Arial" w:eastAsia="Arial" w:hAnsi="Arial" w:cs="Arial"/>
        </w:rPr>
        <w:t xml:space="preserve">de agosto de 2023, será depositado en </w:t>
      </w:r>
      <w:proofErr w:type="spellStart"/>
      <w:r w:rsidRPr="00984066">
        <w:rPr>
          <w:rFonts w:ascii="Arial" w:eastAsia="Arial" w:hAnsi="Arial" w:cs="Arial"/>
        </w:rPr>
        <w:t>CompraNetBCS</w:t>
      </w:r>
      <w:proofErr w:type="spellEnd"/>
      <w:r w:rsidRPr="00984066">
        <w:rPr>
          <w:rFonts w:ascii="Arial" w:eastAsia="Arial" w:hAnsi="Arial" w:cs="Arial"/>
        </w:rPr>
        <w:t xml:space="preserve"> el día de su emisión y notificado en la dirección electrónica señalada por </w:t>
      </w:r>
      <w:r w:rsidRPr="00984066">
        <w:rPr>
          <w:rFonts w:ascii="Arial" w:eastAsia="Arial" w:hAnsi="Arial" w:cs="Arial"/>
        </w:rPr>
        <w:t>los licitantes</w:t>
      </w:r>
      <w:r w:rsidRPr="0098406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Pr="00984066"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</w:rPr>
        <w:t>habiendo</w:t>
      </w:r>
      <w:r w:rsidRPr="00984066">
        <w:rPr>
          <w:rFonts w:ascii="Arial" w:eastAsia="Arial" w:hAnsi="Arial" w:cs="Arial"/>
        </w:rPr>
        <w:t xml:space="preserve"> hechos adicionales que hacer constar se da por concluid</w:t>
      </w:r>
      <w:r>
        <w:rPr>
          <w:rFonts w:ascii="Arial" w:eastAsia="Arial" w:hAnsi="Arial" w:cs="Arial"/>
        </w:rPr>
        <w:t>o, el acto</w:t>
      </w:r>
      <w:r w:rsidRPr="00984066">
        <w:rPr>
          <w:rFonts w:ascii="Arial" w:eastAsia="Arial" w:hAnsi="Arial" w:cs="Arial"/>
        </w:rPr>
        <w:t xml:space="preserve"> siendo</w:t>
      </w:r>
      <w:r>
        <w:rPr>
          <w:rFonts w:ascii="Arial" w:eastAsia="Arial" w:hAnsi="Arial" w:cs="Arial"/>
        </w:rPr>
        <w:t xml:space="preserve"> las</w:t>
      </w:r>
      <w:r w:rsidRPr="00984066">
        <w:rPr>
          <w:rFonts w:ascii="Arial" w:eastAsia="Arial" w:hAnsi="Arial" w:cs="Arial"/>
        </w:rPr>
        <w:t xml:space="preserve"> 1</w:t>
      </w:r>
      <w:r>
        <w:rPr>
          <w:rFonts w:ascii="Arial" w:eastAsia="Arial" w:hAnsi="Arial" w:cs="Arial"/>
        </w:rPr>
        <w:t>5</w:t>
      </w:r>
      <w:r w:rsidRPr="00984066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0</w:t>
      </w:r>
      <w:r w:rsidRPr="00984066">
        <w:rPr>
          <w:rFonts w:ascii="Arial" w:eastAsia="Arial" w:hAnsi="Arial" w:cs="Arial"/>
        </w:rPr>
        <w:t>0 horas, del día de su inicio</w:t>
      </w:r>
      <w:r>
        <w:rPr>
          <w:rFonts w:ascii="Arial" w:eastAsia="Arial" w:hAnsi="Arial" w:cs="Arial"/>
        </w:rPr>
        <w:t>. E</w:t>
      </w:r>
      <w:r w:rsidRPr="00984066">
        <w:rPr>
          <w:rFonts w:ascii="Arial" w:eastAsia="Arial" w:hAnsi="Arial" w:cs="Arial"/>
        </w:rPr>
        <w:t>sta acta consta de 0</w:t>
      </w:r>
      <w:r>
        <w:rPr>
          <w:rFonts w:ascii="Arial" w:eastAsia="Arial" w:hAnsi="Arial" w:cs="Arial"/>
        </w:rPr>
        <w:t>4</w:t>
      </w:r>
      <w:r w:rsidRPr="00984066">
        <w:rPr>
          <w:rFonts w:ascii="Arial" w:eastAsia="Arial" w:hAnsi="Arial" w:cs="Arial"/>
        </w:rPr>
        <w:t xml:space="preserve"> hojas, misma que es firmada de conformidad por los asistentes a este evento, quienes reciben copia de la misma.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“</w:t>
      </w:r>
    </w:p>
    <w:p w14:paraId="00A8FE0C" w14:textId="43C2DA9C" w:rsidR="00D771F0" w:rsidRDefault="00D771F0" w:rsidP="00EE783E">
      <w:pPr>
        <w:tabs>
          <w:tab w:val="left" w:pos="0"/>
        </w:tabs>
        <w:jc w:val="right"/>
        <w:rPr>
          <w:rFonts w:ascii="Arial" w:eastAsia="Arial Unicode MS" w:hAnsi="Arial" w:cs="Arial"/>
          <w:color w:val="000000" w:themeColor="text1"/>
          <w:sz w:val="20"/>
          <w:szCs w:val="20"/>
          <w:lang w:val="es-ES_tradnl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  <w:lang w:val="es-ES_tradnl"/>
        </w:rPr>
        <w:t>PARA LOS EFECTOS LEGALES A QUE HAYA LUGAR.</w:t>
      </w:r>
    </w:p>
    <w:p w14:paraId="25495F8D" w14:textId="2F678710" w:rsidR="00EE783E" w:rsidRDefault="00EE783E" w:rsidP="00EE783E">
      <w:pPr>
        <w:tabs>
          <w:tab w:val="left" w:pos="0"/>
        </w:tabs>
        <w:jc w:val="right"/>
        <w:rPr>
          <w:rFonts w:ascii="Arial" w:eastAsia="Arial Unicode MS" w:hAnsi="Arial" w:cs="Arial"/>
          <w:color w:val="000000" w:themeColor="text1"/>
          <w:sz w:val="20"/>
          <w:szCs w:val="20"/>
          <w:lang w:val="es-ES_tradnl"/>
        </w:rPr>
      </w:pPr>
    </w:p>
    <w:p w14:paraId="6D3DEF6B" w14:textId="77777777" w:rsidR="00835956" w:rsidRDefault="00835956" w:rsidP="00EE783E">
      <w:pPr>
        <w:tabs>
          <w:tab w:val="left" w:pos="0"/>
        </w:tabs>
        <w:jc w:val="right"/>
        <w:rPr>
          <w:rFonts w:ascii="Arial" w:eastAsia="Arial Unicode MS" w:hAnsi="Arial" w:cs="Arial"/>
          <w:color w:val="000000" w:themeColor="text1"/>
          <w:sz w:val="20"/>
          <w:szCs w:val="20"/>
          <w:lang w:val="es-ES_tradnl"/>
        </w:rPr>
      </w:pPr>
    </w:p>
    <w:p w14:paraId="1249D98C" w14:textId="4438ECAD" w:rsidR="00CC119B" w:rsidRDefault="00D771F0" w:rsidP="00EE783E">
      <w:pPr>
        <w:spacing w:after="240" w:line="240" w:lineRule="auto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>A T E N T A M E N T E:</w:t>
      </w:r>
    </w:p>
    <w:p w14:paraId="56DC7293" w14:textId="6224676A" w:rsidR="00984066" w:rsidRDefault="00984066" w:rsidP="00EE783E">
      <w:pPr>
        <w:spacing w:after="240" w:line="240" w:lineRule="auto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</w:p>
    <w:p w14:paraId="29A02A92" w14:textId="008DED72" w:rsidR="00984066" w:rsidRDefault="00984066" w:rsidP="00EE783E">
      <w:pPr>
        <w:spacing w:after="240" w:line="240" w:lineRule="auto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</w:p>
    <w:p w14:paraId="5FDAF00D" w14:textId="77777777" w:rsidR="00984066" w:rsidRDefault="00984066" w:rsidP="00EE783E">
      <w:pPr>
        <w:spacing w:after="240" w:line="240" w:lineRule="auto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</w:p>
    <w:p w14:paraId="6004D9F9" w14:textId="77777777" w:rsidR="00D771F0" w:rsidRDefault="00D771F0" w:rsidP="00D771F0">
      <w:pPr>
        <w:spacing w:after="240" w:line="240" w:lineRule="auto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>LA CONVOCANTE.</w:t>
      </w:r>
    </w:p>
    <w:sectPr w:rsidR="00D771F0" w:rsidSect="009B6BFE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8508" w14:textId="77777777" w:rsidR="007B6E76" w:rsidRDefault="007B6E76">
      <w:pPr>
        <w:spacing w:after="0" w:line="240" w:lineRule="auto"/>
      </w:pPr>
      <w:r>
        <w:separator/>
      </w:r>
    </w:p>
  </w:endnote>
  <w:endnote w:type="continuationSeparator" w:id="0">
    <w:p w14:paraId="06E012D2" w14:textId="77777777" w:rsidR="007B6E76" w:rsidRDefault="007B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104329"/>
      <w:docPartObj>
        <w:docPartGallery w:val="Page Numbers (Bottom of Page)"/>
        <w:docPartUnique/>
      </w:docPartObj>
    </w:sdtPr>
    <w:sdtEndPr/>
    <w:sdtContent>
      <w:p w14:paraId="4F04A2D4" w14:textId="77777777" w:rsidR="003B7D06" w:rsidRDefault="003B7D0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2F7" w:rsidRPr="00CC72F7">
          <w:rPr>
            <w:noProof/>
            <w:lang w:val="es-ES"/>
          </w:rPr>
          <w:t>1</w:t>
        </w:r>
        <w:r>
          <w:fldChar w:fldCharType="end"/>
        </w:r>
      </w:p>
    </w:sdtContent>
  </w:sdt>
  <w:p w14:paraId="7FE786A3" w14:textId="77777777" w:rsidR="003B7D06" w:rsidRDefault="003B7D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53C5" w14:textId="77777777" w:rsidR="007B6E76" w:rsidRDefault="007B6E76">
      <w:pPr>
        <w:spacing w:after="0" w:line="240" w:lineRule="auto"/>
      </w:pPr>
      <w:r>
        <w:separator/>
      </w:r>
    </w:p>
  </w:footnote>
  <w:footnote w:type="continuationSeparator" w:id="0">
    <w:p w14:paraId="6B8F4F80" w14:textId="77777777" w:rsidR="007B6E76" w:rsidRDefault="007B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9EA1" w14:textId="14FA69E9" w:rsidR="006E3628" w:rsidRPr="007234F3" w:rsidRDefault="00B11D73" w:rsidP="006E3628">
    <w:pPr>
      <w:pStyle w:val="Encabezado"/>
      <w:rPr>
        <w:rFonts w:ascii="Helvetica" w:hAnsi="Helvetica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E1500" wp14:editId="5EF89609">
              <wp:simplePos x="0" y="0"/>
              <wp:positionH relativeFrom="column">
                <wp:posOffset>3400425</wp:posOffset>
              </wp:positionH>
              <wp:positionV relativeFrom="paragraph">
                <wp:posOffset>-201930</wp:posOffset>
              </wp:positionV>
              <wp:extent cx="1828800" cy="1000125"/>
              <wp:effectExtent l="0" t="0" r="20955" b="28575"/>
              <wp:wrapSquare wrapText="bothSides"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1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10B95BFA" w14:textId="77777777" w:rsidR="006E3628" w:rsidRPr="00815AC9" w:rsidRDefault="005544E9" w:rsidP="006E3628">
                          <w:pPr>
                            <w:pStyle w:val="Encabezado"/>
                            <w:jc w:val="right"/>
                            <w:rPr>
                              <w:rFonts w:ascii="Helvetica Neue" w:hAnsi="Helvetica Neue"/>
                              <w:b/>
                            </w:rPr>
                          </w:pPr>
                          <w:r w:rsidRPr="00815AC9">
                            <w:rPr>
                              <w:rFonts w:ascii="Helvetica Neue" w:hAnsi="Helvetica Neue"/>
                              <w:b/>
                            </w:rPr>
                            <w:t>Gobierno de Baja California Sur</w:t>
                          </w:r>
                        </w:p>
                        <w:p w14:paraId="320A3374" w14:textId="77777777" w:rsidR="006E3628" w:rsidRPr="00815AC9" w:rsidRDefault="005544E9" w:rsidP="006E3628">
                          <w:pPr>
                            <w:spacing w:after="0" w:line="240" w:lineRule="auto"/>
                            <w:jc w:val="right"/>
                            <w:rPr>
                              <w:rFonts w:ascii="Helvetica Neue" w:hAnsi="Helvetica Neue"/>
                            </w:rPr>
                          </w:pPr>
                          <w:r w:rsidRPr="00815AC9">
                            <w:rPr>
                              <w:rFonts w:ascii="Helvetica Neue" w:hAnsi="Helvetica Neue"/>
                            </w:rPr>
                            <w:t>Secretaria de Finanzas y Administración</w:t>
                          </w:r>
                        </w:p>
                        <w:p w14:paraId="4C64B45E" w14:textId="77777777" w:rsidR="006E3628" w:rsidRPr="003521E8" w:rsidRDefault="005544E9" w:rsidP="006E3628">
                          <w:pPr>
                            <w:spacing w:after="0" w:line="240" w:lineRule="auto"/>
                            <w:jc w:val="right"/>
                            <w:rPr>
                              <w:rFonts w:ascii="Helvetica Neue" w:hAnsi="Helvetica Neue"/>
                              <w:sz w:val="20"/>
                              <w:szCs w:val="20"/>
                            </w:rPr>
                          </w:pPr>
                          <w:r w:rsidRPr="003521E8">
                            <w:rPr>
                              <w:rFonts w:ascii="Helvetica Neue" w:hAnsi="Helvetica Neue"/>
                              <w:sz w:val="20"/>
                              <w:szCs w:val="20"/>
                            </w:rPr>
                            <w:t>Subsecretaria de Administración.</w:t>
                          </w:r>
                        </w:p>
                        <w:p w14:paraId="4E686213" w14:textId="77777777" w:rsidR="006E3628" w:rsidRPr="003521E8" w:rsidRDefault="005544E9" w:rsidP="006E3628">
                          <w:pPr>
                            <w:spacing w:after="0" w:line="240" w:lineRule="auto"/>
                            <w:jc w:val="right"/>
                            <w:rPr>
                              <w:rFonts w:ascii="Helvetica Neue" w:hAnsi="Helvetica Neue"/>
                              <w:sz w:val="18"/>
                            </w:rPr>
                          </w:pPr>
                          <w:r w:rsidRPr="003521E8">
                            <w:rPr>
                              <w:rFonts w:ascii="Helvetica Neue" w:hAnsi="Helvetica Neue"/>
                              <w:sz w:val="18"/>
                            </w:rPr>
                            <w:t>Dirección General de Recursos Materiales.</w:t>
                          </w:r>
                        </w:p>
                        <w:p w14:paraId="15874A46" w14:textId="77777777" w:rsidR="006E3628" w:rsidRPr="004E7062" w:rsidRDefault="00E1743D" w:rsidP="006E3628">
                          <w:pPr>
                            <w:pStyle w:val="Encabezado"/>
                            <w:rPr>
                              <w:rFonts w:ascii="Helvetica" w:hAnsi="Helveti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B7E1500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67.75pt;margin-top:-15.9pt;width:2in;height:7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" filled="f" strokecolor="white [3212]" strokeweight=".5pt">
              <v:textbox>
                <w:txbxContent>
                  <w:p w14:paraId="10B95BFA" w14:textId="77777777" w:rsidR="006E3628" w:rsidRPr="00815AC9" w:rsidRDefault="005544E9" w:rsidP="006E3628">
                    <w:pPr>
                      <w:pStyle w:val="Encabezado"/>
                      <w:jc w:val="right"/>
                      <w:rPr>
                        <w:rFonts w:ascii="Helvetica Neue" w:hAnsi="Helvetica Neue"/>
                        <w:b/>
                      </w:rPr>
                    </w:pPr>
                    <w:r w:rsidRPr="00815AC9">
                      <w:rPr>
                        <w:rFonts w:ascii="Helvetica Neue" w:hAnsi="Helvetica Neue"/>
                        <w:b/>
                      </w:rPr>
                      <w:t>Gobierno de Baja California Sur</w:t>
                    </w:r>
                  </w:p>
                  <w:p w14:paraId="320A3374" w14:textId="77777777" w:rsidR="006E3628" w:rsidRPr="00815AC9" w:rsidRDefault="005544E9" w:rsidP="006E3628">
                    <w:pPr>
                      <w:spacing w:after="0" w:line="240" w:lineRule="auto"/>
                      <w:jc w:val="right"/>
                      <w:rPr>
                        <w:rFonts w:ascii="Helvetica Neue" w:hAnsi="Helvetica Neue"/>
                      </w:rPr>
                    </w:pPr>
                    <w:r w:rsidRPr="00815AC9">
                      <w:rPr>
                        <w:rFonts w:ascii="Helvetica Neue" w:hAnsi="Helvetica Neue"/>
                      </w:rPr>
                      <w:t>Secretaria de Finanzas y Administración</w:t>
                    </w:r>
                  </w:p>
                  <w:p w14:paraId="4C64B45E" w14:textId="77777777" w:rsidR="006E3628" w:rsidRPr="003521E8" w:rsidRDefault="005544E9" w:rsidP="006E3628">
                    <w:pPr>
                      <w:spacing w:after="0" w:line="240" w:lineRule="auto"/>
                      <w:jc w:val="right"/>
                      <w:rPr>
                        <w:rFonts w:ascii="Helvetica Neue" w:hAnsi="Helvetica Neue"/>
                        <w:sz w:val="20"/>
                        <w:szCs w:val="20"/>
                      </w:rPr>
                    </w:pPr>
                    <w:r w:rsidRPr="003521E8">
                      <w:rPr>
                        <w:rFonts w:ascii="Helvetica Neue" w:hAnsi="Helvetica Neue"/>
                        <w:sz w:val="20"/>
                        <w:szCs w:val="20"/>
                      </w:rPr>
                      <w:t>Subsecretaria de Administración.</w:t>
                    </w:r>
                  </w:p>
                  <w:p w14:paraId="4E686213" w14:textId="77777777" w:rsidR="006E3628" w:rsidRPr="003521E8" w:rsidRDefault="005544E9" w:rsidP="006E3628">
                    <w:pPr>
                      <w:spacing w:after="0" w:line="240" w:lineRule="auto"/>
                      <w:jc w:val="right"/>
                      <w:rPr>
                        <w:rFonts w:ascii="Helvetica Neue" w:hAnsi="Helvetica Neue"/>
                        <w:sz w:val="18"/>
                      </w:rPr>
                    </w:pPr>
                    <w:r w:rsidRPr="003521E8">
                      <w:rPr>
                        <w:rFonts w:ascii="Helvetica Neue" w:hAnsi="Helvetica Neue"/>
                        <w:sz w:val="18"/>
                      </w:rPr>
                      <w:t>Dirección General de Recursos Materiales.</w:t>
                    </w:r>
                  </w:p>
                  <w:p w14:paraId="15874A46" w14:textId="77777777" w:rsidR="006E3628" w:rsidRPr="004E7062" w:rsidRDefault="00000000" w:rsidP="006E3628">
                    <w:pPr>
                      <w:pStyle w:val="Encabezado"/>
                      <w:rPr>
                        <w:rFonts w:ascii="Helvetica" w:hAnsi="Helvetic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544E9">
      <w:t xml:space="preserve">          </w:t>
    </w:r>
    <w:r w:rsidR="00B413BE">
      <w:rPr>
        <w:noProof/>
      </w:rPr>
      <w:drawing>
        <wp:inline distT="0" distB="0" distL="0" distR="0" wp14:anchorId="65BDBE53" wp14:editId="2A04B518">
          <wp:extent cx="866775" cy="781050"/>
          <wp:effectExtent l="0" t="0" r="9525" b="0"/>
          <wp:docPr id="2" name="Imagen 2" descr="../../../../Users/gaviastorga/Desktop/LOGO%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../../../../Users/gaviastorga/Desktop/LOGO%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896"/>
                  <a:stretch/>
                </pic:blipFill>
                <pic:spPr bwMode="auto">
                  <a:xfrm>
                    <a:off x="0" y="0"/>
                    <a:ext cx="866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544E9">
      <w:t xml:space="preserve">                                      </w:t>
    </w:r>
  </w:p>
  <w:p w14:paraId="6FDC3491" w14:textId="77777777" w:rsidR="00DC5BA4" w:rsidRPr="00144A71" w:rsidRDefault="005544E9" w:rsidP="00741DCC">
    <w:pPr>
      <w:pStyle w:val="Encabezado"/>
      <w:ind w:left="1416"/>
      <w:jc w:val="right"/>
      <w:rPr>
        <w:rFonts w:ascii="Helvetica Neue" w:hAnsi="Helvetica Neue"/>
        <w:b/>
        <w:sz w:val="20"/>
      </w:rPr>
    </w:pPr>
    <w:r w:rsidRPr="00144A71">
      <w:rPr>
        <w:rFonts w:ascii="Helvetica Neue" w:hAnsi="Helvetica Neue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B4D"/>
    <w:multiLevelType w:val="multilevel"/>
    <w:tmpl w:val="5E207F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0BCB1769"/>
    <w:multiLevelType w:val="multilevel"/>
    <w:tmpl w:val="A33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64885"/>
    <w:multiLevelType w:val="multilevel"/>
    <w:tmpl w:val="BCD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42516"/>
    <w:multiLevelType w:val="hybridMultilevel"/>
    <w:tmpl w:val="E8DCF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3F4A"/>
    <w:multiLevelType w:val="hybridMultilevel"/>
    <w:tmpl w:val="7892E6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F14"/>
    <w:multiLevelType w:val="hybridMultilevel"/>
    <w:tmpl w:val="3E28D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5210"/>
    <w:multiLevelType w:val="hybridMultilevel"/>
    <w:tmpl w:val="12A82FA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D01BF"/>
    <w:multiLevelType w:val="hybridMultilevel"/>
    <w:tmpl w:val="6B5292B0"/>
    <w:lvl w:ilvl="0" w:tplc="DD2A3B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EDD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692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25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C2F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078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E38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C74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A9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D26034"/>
    <w:multiLevelType w:val="hybridMultilevel"/>
    <w:tmpl w:val="9D6E31D0"/>
    <w:lvl w:ilvl="0" w:tplc="00C4A89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BE67C7"/>
    <w:multiLevelType w:val="hybridMultilevel"/>
    <w:tmpl w:val="FCC0EFE6"/>
    <w:lvl w:ilvl="0" w:tplc="F2542026">
      <w:start w:val="1"/>
      <w:numFmt w:val="bullet"/>
      <w:lvlText w:val="•"/>
      <w:lvlJc w:val="left"/>
      <w:pPr>
        <w:ind w:left="8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CAC26">
      <w:start w:val="1"/>
      <w:numFmt w:val="bullet"/>
      <w:lvlText w:val="o"/>
      <w:lvlJc w:val="left"/>
      <w:pPr>
        <w:ind w:left="15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72E">
      <w:start w:val="1"/>
      <w:numFmt w:val="bullet"/>
      <w:lvlText w:val="▪"/>
      <w:lvlJc w:val="left"/>
      <w:pPr>
        <w:ind w:left="2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FE4">
      <w:start w:val="1"/>
      <w:numFmt w:val="bullet"/>
      <w:lvlText w:val="•"/>
      <w:lvlJc w:val="left"/>
      <w:pPr>
        <w:ind w:left="29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62F7C">
      <w:start w:val="1"/>
      <w:numFmt w:val="bullet"/>
      <w:lvlText w:val="o"/>
      <w:lvlJc w:val="left"/>
      <w:pPr>
        <w:ind w:left="37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4800A">
      <w:start w:val="1"/>
      <w:numFmt w:val="bullet"/>
      <w:lvlText w:val="▪"/>
      <w:lvlJc w:val="left"/>
      <w:pPr>
        <w:ind w:left="44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4F9F8">
      <w:start w:val="1"/>
      <w:numFmt w:val="bullet"/>
      <w:lvlText w:val="•"/>
      <w:lvlJc w:val="left"/>
      <w:pPr>
        <w:ind w:left="51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E88A4">
      <w:start w:val="1"/>
      <w:numFmt w:val="bullet"/>
      <w:lvlText w:val="o"/>
      <w:lvlJc w:val="left"/>
      <w:pPr>
        <w:ind w:left="58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0C91C">
      <w:start w:val="1"/>
      <w:numFmt w:val="bullet"/>
      <w:lvlText w:val="▪"/>
      <w:lvlJc w:val="left"/>
      <w:pPr>
        <w:ind w:left="65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BF4B57"/>
    <w:multiLevelType w:val="hybridMultilevel"/>
    <w:tmpl w:val="F73EB08A"/>
    <w:lvl w:ilvl="0" w:tplc="080A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1" w15:restartNumberingAfterBreak="0">
    <w:nsid w:val="461D1262"/>
    <w:multiLevelType w:val="hybridMultilevel"/>
    <w:tmpl w:val="CF6AAB48"/>
    <w:lvl w:ilvl="0" w:tplc="9940DB8C">
      <w:start w:val="1"/>
      <w:numFmt w:val="lowerLetter"/>
      <w:lvlText w:val="%1)"/>
      <w:lvlJc w:val="left"/>
      <w:pPr>
        <w:ind w:left="72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C1B2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EB5F2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EF000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01E5E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0A7F0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C32E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AC4B0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02BBE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566570"/>
    <w:multiLevelType w:val="hybridMultilevel"/>
    <w:tmpl w:val="72DE40D2"/>
    <w:lvl w:ilvl="0" w:tplc="8DEC1A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E57BD"/>
    <w:multiLevelType w:val="hybridMultilevel"/>
    <w:tmpl w:val="559A53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96549"/>
    <w:multiLevelType w:val="hybridMultilevel"/>
    <w:tmpl w:val="67767FD8"/>
    <w:lvl w:ilvl="0" w:tplc="080A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55257"/>
    <w:multiLevelType w:val="hybridMultilevel"/>
    <w:tmpl w:val="406E4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A76D6"/>
    <w:multiLevelType w:val="hybridMultilevel"/>
    <w:tmpl w:val="83363630"/>
    <w:lvl w:ilvl="0" w:tplc="1F02E944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0" w:hanging="360"/>
      </w:pPr>
    </w:lvl>
    <w:lvl w:ilvl="2" w:tplc="080A001B" w:tentative="1">
      <w:start w:val="1"/>
      <w:numFmt w:val="lowerRoman"/>
      <w:lvlText w:val="%3."/>
      <w:lvlJc w:val="right"/>
      <w:pPr>
        <w:ind w:left="2930" w:hanging="180"/>
      </w:pPr>
    </w:lvl>
    <w:lvl w:ilvl="3" w:tplc="080A000F" w:tentative="1">
      <w:start w:val="1"/>
      <w:numFmt w:val="decimal"/>
      <w:lvlText w:val="%4."/>
      <w:lvlJc w:val="left"/>
      <w:pPr>
        <w:ind w:left="3650" w:hanging="360"/>
      </w:pPr>
    </w:lvl>
    <w:lvl w:ilvl="4" w:tplc="080A0019" w:tentative="1">
      <w:start w:val="1"/>
      <w:numFmt w:val="lowerLetter"/>
      <w:lvlText w:val="%5."/>
      <w:lvlJc w:val="left"/>
      <w:pPr>
        <w:ind w:left="4370" w:hanging="360"/>
      </w:pPr>
    </w:lvl>
    <w:lvl w:ilvl="5" w:tplc="080A001B" w:tentative="1">
      <w:start w:val="1"/>
      <w:numFmt w:val="lowerRoman"/>
      <w:lvlText w:val="%6."/>
      <w:lvlJc w:val="right"/>
      <w:pPr>
        <w:ind w:left="5090" w:hanging="180"/>
      </w:pPr>
    </w:lvl>
    <w:lvl w:ilvl="6" w:tplc="080A000F" w:tentative="1">
      <w:start w:val="1"/>
      <w:numFmt w:val="decimal"/>
      <w:lvlText w:val="%7."/>
      <w:lvlJc w:val="left"/>
      <w:pPr>
        <w:ind w:left="5810" w:hanging="360"/>
      </w:pPr>
    </w:lvl>
    <w:lvl w:ilvl="7" w:tplc="080A0019" w:tentative="1">
      <w:start w:val="1"/>
      <w:numFmt w:val="lowerLetter"/>
      <w:lvlText w:val="%8."/>
      <w:lvlJc w:val="left"/>
      <w:pPr>
        <w:ind w:left="6530" w:hanging="360"/>
      </w:pPr>
    </w:lvl>
    <w:lvl w:ilvl="8" w:tplc="08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7" w15:restartNumberingAfterBreak="0">
    <w:nsid w:val="709A10EA"/>
    <w:multiLevelType w:val="multilevel"/>
    <w:tmpl w:val="3536DB04"/>
    <w:lvl w:ilvl="0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61B45"/>
    <w:multiLevelType w:val="hybridMultilevel"/>
    <w:tmpl w:val="64C2E13E"/>
    <w:lvl w:ilvl="0" w:tplc="FCDC16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8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17"/>
  </w:num>
  <w:num w:numId="15">
    <w:abstractNumId w:val="6"/>
  </w:num>
  <w:num w:numId="16">
    <w:abstractNumId w:val="14"/>
  </w:num>
  <w:num w:numId="17">
    <w:abstractNumId w:val="9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E3"/>
    <w:rsid w:val="00013F6D"/>
    <w:rsid w:val="000912F0"/>
    <w:rsid w:val="000B53BC"/>
    <w:rsid w:val="000C0C83"/>
    <w:rsid w:val="000C1041"/>
    <w:rsid w:val="000C5E6D"/>
    <w:rsid w:val="000E6D47"/>
    <w:rsid w:val="001003F7"/>
    <w:rsid w:val="00133286"/>
    <w:rsid w:val="001417DD"/>
    <w:rsid w:val="00151474"/>
    <w:rsid w:val="00153F33"/>
    <w:rsid w:val="00165AB5"/>
    <w:rsid w:val="0017376C"/>
    <w:rsid w:val="00195890"/>
    <w:rsid w:val="001B7601"/>
    <w:rsid w:val="001C3327"/>
    <w:rsid w:val="001E19D3"/>
    <w:rsid w:val="00223B32"/>
    <w:rsid w:val="002305EF"/>
    <w:rsid w:val="00237F0E"/>
    <w:rsid w:val="00246CB7"/>
    <w:rsid w:val="002507B5"/>
    <w:rsid w:val="00283736"/>
    <w:rsid w:val="002A4473"/>
    <w:rsid w:val="002E2A8B"/>
    <w:rsid w:val="002F4F9A"/>
    <w:rsid w:val="00314A5F"/>
    <w:rsid w:val="003353EC"/>
    <w:rsid w:val="0034122C"/>
    <w:rsid w:val="003622B1"/>
    <w:rsid w:val="00373650"/>
    <w:rsid w:val="00391123"/>
    <w:rsid w:val="003B7D06"/>
    <w:rsid w:val="003C6316"/>
    <w:rsid w:val="003C7D75"/>
    <w:rsid w:val="003E3EA0"/>
    <w:rsid w:val="00411C5C"/>
    <w:rsid w:val="0045012F"/>
    <w:rsid w:val="00460049"/>
    <w:rsid w:val="004965AA"/>
    <w:rsid w:val="00497F03"/>
    <w:rsid w:val="004C4597"/>
    <w:rsid w:val="005036F0"/>
    <w:rsid w:val="00507C5B"/>
    <w:rsid w:val="005544E9"/>
    <w:rsid w:val="00556383"/>
    <w:rsid w:val="00556DC2"/>
    <w:rsid w:val="00562837"/>
    <w:rsid w:val="005670C8"/>
    <w:rsid w:val="0059227F"/>
    <w:rsid w:val="005C5C08"/>
    <w:rsid w:val="005D2E84"/>
    <w:rsid w:val="005E58D1"/>
    <w:rsid w:val="005F7E7A"/>
    <w:rsid w:val="00617EE3"/>
    <w:rsid w:val="006229EF"/>
    <w:rsid w:val="0062386F"/>
    <w:rsid w:val="00625B91"/>
    <w:rsid w:val="006465D0"/>
    <w:rsid w:val="00675472"/>
    <w:rsid w:val="006823B0"/>
    <w:rsid w:val="006839E5"/>
    <w:rsid w:val="00696C77"/>
    <w:rsid w:val="006A0673"/>
    <w:rsid w:val="006A5DF7"/>
    <w:rsid w:val="006D6608"/>
    <w:rsid w:val="006F387E"/>
    <w:rsid w:val="00706DC8"/>
    <w:rsid w:val="00714466"/>
    <w:rsid w:val="007156D4"/>
    <w:rsid w:val="007177D6"/>
    <w:rsid w:val="00717C24"/>
    <w:rsid w:val="007206D4"/>
    <w:rsid w:val="0073667D"/>
    <w:rsid w:val="00796DB9"/>
    <w:rsid w:val="007A35AA"/>
    <w:rsid w:val="007B6E76"/>
    <w:rsid w:val="007C4984"/>
    <w:rsid w:val="0080429C"/>
    <w:rsid w:val="0080508D"/>
    <w:rsid w:val="00813FE9"/>
    <w:rsid w:val="00830687"/>
    <w:rsid w:val="00835956"/>
    <w:rsid w:val="00857633"/>
    <w:rsid w:val="00880523"/>
    <w:rsid w:val="00881B97"/>
    <w:rsid w:val="00882B31"/>
    <w:rsid w:val="008946E1"/>
    <w:rsid w:val="008A4984"/>
    <w:rsid w:val="008B01F5"/>
    <w:rsid w:val="008B3AB4"/>
    <w:rsid w:val="008C1296"/>
    <w:rsid w:val="008C314A"/>
    <w:rsid w:val="008C4DEA"/>
    <w:rsid w:val="008D5BD6"/>
    <w:rsid w:val="008E0E0A"/>
    <w:rsid w:val="008F04AD"/>
    <w:rsid w:val="008F4C6B"/>
    <w:rsid w:val="0090593A"/>
    <w:rsid w:val="00910449"/>
    <w:rsid w:val="00930474"/>
    <w:rsid w:val="0094509B"/>
    <w:rsid w:val="00956E72"/>
    <w:rsid w:val="00974415"/>
    <w:rsid w:val="00984066"/>
    <w:rsid w:val="00993425"/>
    <w:rsid w:val="009B2959"/>
    <w:rsid w:val="009B630A"/>
    <w:rsid w:val="009B6BFE"/>
    <w:rsid w:val="009E418A"/>
    <w:rsid w:val="009E7B8A"/>
    <w:rsid w:val="009F1F23"/>
    <w:rsid w:val="00A2339A"/>
    <w:rsid w:val="00A32A08"/>
    <w:rsid w:val="00A673DA"/>
    <w:rsid w:val="00A74F87"/>
    <w:rsid w:val="00A770F7"/>
    <w:rsid w:val="00AD32E1"/>
    <w:rsid w:val="00AD7DF8"/>
    <w:rsid w:val="00AF5894"/>
    <w:rsid w:val="00B11D73"/>
    <w:rsid w:val="00B277F8"/>
    <w:rsid w:val="00B413BE"/>
    <w:rsid w:val="00B67661"/>
    <w:rsid w:val="00B853C1"/>
    <w:rsid w:val="00BC2532"/>
    <w:rsid w:val="00BE3366"/>
    <w:rsid w:val="00C01279"/>
    <w:rsid w:val="00C0352A"/>
    <w:rsid w:val="00C20E11"/>
    <w:rsid w:val="00C23639"/>
    <w:rsid w:val="00C25811"/>
    <w:rsid w:val="00C32138"/>
    <w:rsid w:val="00CB1BF8"/>
    <w:rsid w:val="00CB77D1"/>
    <w:rsid w:val="00CB7EDD"/>
    <w:rsid w:val="00CC119B"/>
    <w:rsid w:val="00CC72F7"/>
    <w:rsid w:val="00CF33AB"/>
    <w:rsid w:val="00D01274"/>
    <w:rsid w:val="00D15074"/>
    <w:rsid w:val="00D37658"/>
    <w:rsid w:val="00D43EA4"/>
    <w:rsid w:val="00D47096"/>
    <w:rsid w:val="00D50B10"/>
    <w:rsid w:val="00D65A72"/>
    <w:rsid w:val="00D6678B"/>
    <w:rsid w:val="00D771F0"/>
    <w:rsid w:val="00DC51EF"/>
    <w:rsid w:val="00DD2DE1"/>
    <w:rsid w:val="00DD7CD3"/>
    <w:rsid w:val="00DE50E3"/>
    <w:rsid w:val="00E109A1"/>
    <w:rsid w:val="00E1743D"/>
    <w:rsid w:val="00E35FA4"/>
    <w:rsid w:val="00E50CC0"/>
    <w:rsid w:val="00E51483"/>
    <w:rsid w:val="00E5331E"/>
    <w:rsid w:val="00EA2E5F"/>
    <w:rsid w:val="00EC4435"/>
    <w:rsid w:val="00EE783E"/>
    <w:rsid w:val="00F25797"/>
    <w:rsid w:val="00F26F1A"/>
    <w:rsid w:val="00F739E0"/>
    <w:rsid w:val="00F750F3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EBBA5"/>
  <w15:chartTrackingRefBased/>
  <w15:docId w15:val="{D069B8DC-E98D-40DA-932A-6AD9C35A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066"/>
  </w:style>
  <w:style w:type="paragraph" w:styleId="Ttulo1">
    <w:name w:val="heading 1"/>
    <w:next w:val="Normal"/>
    <w:link w:val="Ttulo1Car"/>
    <w:uiPriority w:val="9"/>
    <w:unhideWhenUsed/>
    <w:qFormat/>
    <w:rsid w:val="00796DB9"/>
    <w:pPr>
      <w:keepNext/>
      <w:keepLines/>
      <w:spacing w:after="171" w:line="240" w:lineRule="auto"/>
      <w:ind w:left="-5" w:right="-15" w:hanging="10"/>
      <w:outlineLvl w:val="0"/>
    </w:pPr>
    <w:rPr>
      <w:rFonts w:ascii="Century Gothic" w:eastAsia="Century Gothic" w:hAnsi="Century Gothic" w:cs="Century Gothic"/>
      <w:b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EE3"/>
  </w:style>
  <w:style w:type="table" w:styleId="Tablaconcuadrcula">
    <w:name w:val="Table Grid"/>
    <w:basedOn w:val="Tablanormal"/>
    <w:uiPriority w:val="39"/>
    <w:rsid w:val="0061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Bullet List,FooterText,numbered,Paragraphe de liste1,Bulletr List Paragraph,列出段落,列出段落1,Listas,List Paragraph11,Scitum normal,Contenido_1,Colorful List - Accent 11,Dot pt,No Spacing1,Indicator Text"/>
    <w:basedOn w:val="Normal"/>
    <w:link w:val="PrrafodelistaCar"/>
    <w:uiPriority w:val="34"/>
    <w:qFormat/>
    <w:rsid w:val="00617E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12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1446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autoRedefine/>
    <w:rsid w:val="002305EF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paragraph" w:customStyle="1" w:styleId="Default">
    <w:name w:val="Default"/>
    <w:rsid w:val="00683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CB7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B7ED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2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F1A"/>
  </w:style>
  <w:style w:type="paragraph" w:customStyle="1" w:styleId="Listavistosa-nfasis11">
    <w:name w:val="Lista vistosa - Énfasis 11"/>
    <w:basedOn w:val="Normal"/>
    <w:uiPriority w:val="34"/>
    <w:qFormat/>
    <w:rsid w:val="00556383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37F0E"/>
    <w:rPr>
      <w:color w:val="0563C1" w:themeColor="hyperlink"/>
      <w:u w:val="single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s Car,List Paragraph11 Car,Scitum normal Car,Contenido_1 Car,Colorful List - Accent 11 Car,Dot pt Car"/>
    <w:link w:val="Prrafodelista"/>
    <w:uiPriority w:val="34"/>
    <w:qFormat/>
    <w:rsid w:val="00DC51EF"/>
  </w:style>
  <w:style w:type="paragraph" w:styleId="NormalWeb">
    <w:name w:val="Normal (Web)"/>
    <w:basedOn w:val="Normal"/>
    <w:uiPriority w:val="99"/>
    <w:unhideWhenUsed/>
    <w:rsid w:val="00C3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96DB9"/>
    <w:rPr>
      <w:rFonts w:ascii="Century Gothic" w:eastAsia="Century Gothic" w:hAnsi="Century Gothic" w:cs="Century Gothic"/>
      <w:b/>
      <w:color w:val="000000"/>
      <w:sz w:val="24"/>
      <w:lang w:eastAsia="es-MX"/>
    </w:rPr>
  </w:style>
  <w:style w:type="table" w:customStyle="1" w:styleId="TableGrid">
    <w:name w:val="TableGrid"/>
    <w:rsid w:val="00796DB9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D4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43EA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Joel G Orci</cp:lastModifiedBy>
  <cp:revision>2</cp:revision>
  <cp:lastPrinted>2023-08-11T23:12:00Z</cp:lastPrinted>
  <dcterms:created xsi:type="dcterms:W3CDTF">2023-08-11T23:12:00Z</dcterms:created>
  <dcterms:modified xsi:type="dcterms:W3CDTF">2023-08-11T23:12:00Z</dcterms:modified>
</cp:coreProperties>
</file>