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Default="00683B4A">
      <w:pPr>
        <w:spacing w:after="0" w:line="240" w:lineRule="auto"/>
        <w:rPr>
          <w:rFonts w:ascii="Century Gothic" w:eastAsia="Century Gothic" w:hAnsi="Century Gothic" w:cs="Century Gothic"/>
          <w:b/>
          <w:sz w:val="40"/>
          <w:szCs w:val="4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Default="00683B4A">
      <w:pPr>
        <w:shd w:val="clear" w:color="auto" w:fill="FFFFFF"/>
        <w:spacing w:after="0" w:line="240" w:lineRule="auto"/>
        <w:rPr>
          <w:rFonts w:ascii="Arial" w:eastAsia="Arial" w:hAnsi="Arial" w:cs="Arial"/>
          <w:b/>
          <w:sz w:val="24"/>
          <w:szCs w:val="24"/>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Default="00683B4A">
      <w:pPr>
        <w:shd w:val="clear" w:color="auto" w:fill="FFFFFF"/>
        <w:spacing w:after="0" w:line="240" w:lineRule="auto"/>
        <w:jc w:val="both"/>
        <w:rPr>
          <w:rFonts w:ascii="Arial" w:eastAsia="Arial" w:hAnsi="Arial" w:cs="Arial"/>
          <w:b/>
          <w:sz w:val="24"/>
          <w:szCs w:val="24"/>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Default="00683B4A">
      <w:pPr>
        <w:spacing w:after="0" w:line="240" w:lineRule="auto"/>
        <w:jc w:val="both"/>
        <w:rPr>
          <w:rFonts w:ascii="Arial" w:eastAsia="Arial" w:hAnsi="Arial" w:cs="Arial"/>
          <w:b/>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Default="00683B4A">
      <w:pPr>
        <w:spacing w:after="0" w:line="240" w:lineRule="auto"/>
        <w:jc w:val="both"/>
        <w:rPr>
          <w:rFonts w:ascii="Arial" w:eastAsia="Arial" w:hAnsi="Arial" w:cs="Arial"/>
          <w:b/>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w:t>
      </w:r>
      <w:proofErr w:type="spellStart"/>
      <w:r>
        <w:rPr>
          <w:rFonts w:ascii="Arial" w:eastAsia="Arial" w:hAnsi="Arial" w:cs="Arial"/>
        </w:rPr>
        <w:t>Villarino</w:t>
      </w:r>
      <w:proofErr w:type="spellEnd"/>
      <w:r>
        <w:rPr>
          <w:rFonts w:ascii="Arial" w:eastAsia="Arial" w:hAnsi="Arial" w:cs="Arial"/>
        </w:rPr>
        <w:t xml:space="preserve">,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Default="00683B4A">
      <w:pPr>
        <w:shd w:val="clear" w:color="auto" w:fill="FFFFFF"/>
        <w:spacing w:after="0" w:line="240" w:lineRule="auto"/>
        <w:jc w:val="both"/>
        <w:rPr>
          <w:rFonts w:ascii="Arial" w:eastAsia="Arial" w:hAnsi="Arial" w:cs="Arial"/>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Default="00683B4A">
      <w:pPr>
        <w:shd w:val="clear" w:color="auto" w:fill="FFFFFF"/>
        <w:spacing w:before="240" w:after="0" w:line="240" w:lineRule="auto"/>
        <w:jc w:val="both"/>
        <w:rPr>
          <w:rFonts w:ascii="Arial" w:eastAsia="Arial" w:hAnsi="Arial" w:cs="Arial"/>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w:t>
      </w:r>
      <w:r>
        <w:rPr>
          <w:rFonts w:ascii="Arial" w:eastAsia="Arial" w:hAnsi="Arial" w:cs="Arial"/>
        </w:rPr>
        <w:lastRenderedPageBreak/>
        <w:t>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La Dirección Gen</w:t>
      </w:r>
      <w:bookmarkStart w:id="1" w:name="_GoBack"/>
      <w:bookmarkEnd w:id="1"/>
      <w:r>
        <w:rPr>
          <w:rFonts w:ascii="Arial" w:eastAsia="Arial" w:hAnsi="Arial" w:cs="Arial"/>
        </w:rPr>
        <w:t xml:space="preserve">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w:t>
      </w:r>
      <w:proofErr w:type="spellStart"/>
      <w:r>
        <w:rPr>
          <w:rFonts w:ascii="Arial" w:eastAsia="Arial" w:hAnsi="Arial" w:cs="Arial"/>
          <w:color w:val="000000"/>
        </w:rPr>
        <w:t>Villarino</w:t>
      </w:r>
      <w:proofErr w:type="spellEnd"/>
      <w:r>
        <w:rPr>
          <w:rFonts w:ascii="Arial" w:eastAsia="Arial" w:hAnsi="Arial" w:cs="Arial"/>
          <w:color w:val="000000"/>
        </w:rPr>
        <w:t xml:space="preserve">,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77777777" w:rsidR="00683B4A" w:rsidRDefault="00AF0CC0">
      <w:pPr>
        <w:spacing w:after="0"/>
        <w:jc w:val="right"/>
        <w:rPr>
          <w:rFonts w:ascii="Arial" w:eastAsia="Arial" w:hAnsi="Arial" w:cs="Arial"/>
        </w:rPr>
      </w:pPr>
      <w:r>
        <w:rPr>
          <w:rFonts w:ascii="Arial" w:eastAsia="Arial" w:hAnsi="Arial" w:cs="Arial"/>
        </w:rPr>
        <w:t xml:space="preserve">La Paz, Baja California Sur; </w:t>
      </w:r>
      <w:proofErr w:type="gramStart"/>
      <w:r>
        <w:rPr>
          <w:rFonts w:ascii="Arial" w:eastAsia="Arial" w:hAnsi="Arial" w:cs="Arial"/>
        </w:rPr>
        <w:t>a  _</w:t>
      </w:r>
      <w:proofErr w:type="gramEnd"/>
      <w:r>
        <w:rPr>
          <w:rFonts w:ascii="Arial" w:eastAsia="Arial" w:hAnsi="Arial" w:cs="Arial"/>
        </w:rPr>
        <w:t xml:space="preserve">__   de _________  </w:t>
      </w:r>
      <w:proofErr w:type="spellStart"/>
      <w:r>
        <w:rPr>
          <w:rFonts w:ascii="Arial" w:eastAsia="Arial" w:hAnsi="Arial" w:cs="Arial"/>
        </w:rPr>
        <w:t>de</w:t>
      </w:r>
      <w:proofErr w:type="spellEnd"/>
      <w:r>
        <w:rPr>
          <w:rFonts w:ascii="Arial" w:eastAsia="Arial" w:hAnsi="Arial" w:cs="Arial"/>
        </w:rPr>
        <w:t xml:space="preserve"> 2022.</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94A29" w14:textId="77777777" w:rsidR="00B23CB1" w:rsidRDefault="00B23CB1">
      <w:pPr>
        <w:spacing w:after="0" w:line="240" w:lineRule="auto"/>
      </w:pPr>
      <w:r>
        <w:separator/>
      </w:r>
    </w:p>
  </w:endnote>
  <w:endnote w:type="continuationSeparator" w:id="0">
    <w:p w14:paraId="6673C49E" w14:textId="77777777" w:rsidR="00B23CB1" w:rsidRDefault="00B2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76F81" w14:textId="77777777" w:rsidR="00B23CB1" w:rsidRDefault="00B23CB1">
      <w:pPr>
        <w:spacing w:after="0" w:line="240" w:lineRule="auto"/>
      </w:pPr>
      <w:r>
        <w:separator/>
      </w:r>
    </w:p>
  </w:footnote>
  <w:footnote w:type="continuationSeparator" w:id="0">
    <w:p w14:paraId="2DE5B89E" w14:textId="77777777" w:rsidR="00B23CB1" w:rsidRDefault="00B2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4A"/>
    <w:rsid w:val="005E6EBD"/>
    <w:rsid w:val="00683B4A"/>
    <w:rsid w:val="00683E5D"/>
    <w:rsid w:val="0078464B"/>
    <w:rsid w:val="009D4FAC"/>
    <w:rsid w:val="00AF0CC0"/>
    <w:rsid w:val="00B23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Brianda Pimentel</cp:lastModifiedBy>
  <cp:revision>3</cp:revision>
  <dcterms:created xsi:type="dcterms:W3CDTF">2022-03-28T07:05:00Z</dcterms:created>
  <dcterms:modified xsi:type="dcterms:W3CDTF">2022-05-27T16:15:00Z</dcterms:modified>
</cp:coreProperties>
</file>